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Deformation et rupture d'un acier inoxydable austeno-ferritique 50-50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Fatima / Laurent, P/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 E 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acier/ texture/ ferrite / embout issage / </w:t>
            </w:r>
          </w:p>
        </w:tc>
      </w:tr>
    </w:tbl>
    <w:p>
      <w:pPr>
        <w:pStyle w:val="Heading3"/>
      </w:pPr>
      <w:r>
        <w:t>Résumé :</w:t>
      </w:r>
    </w:p>
    <w:p>
      <w:r>
        <w:t xml:space="preserve">La déformation de l'acier inoxydable de structure austénoferritique a été étudiée er vue d'améliorer sa capacité d'emboutissage. après avoir mis en évidence sa microstructure stratifiée de couches alternées d'austénite et de ferrite nous avans montré que c'est pour une vi'&gt;sse de déformation très faible de 5.10 ° s°| que cet acier se déforme le mieux. sa mauvaise capacité au rétreint se traduit par un coefficient d'anisotropie insuffisant de r = 0,4, cette valeur est attribuée au glissement préférentiel suivant des plans inclinés à 45° par rapport à la surface de la tôle. la rupture prend son origine dans les décohésions autour des gros précipités et surtout dans les décohésions entre îles grains de ferrite.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