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des parametres de laminage a chaud sur les proprietes mecaniques des aciers a haute limite d'elasticite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Darsouni;  Abderrazek / Université Badji Mokhtar/ Tokaev, A/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laminage/ aciers/ mecaniques/ </w:t>
            </w:r>
          </w:p>
        </w:tc>
      </w:tr>
    </w:tbl>
    <w:p>
      <w:pPr>
        <w:pStyle w:val="Heading3"/>
      </w:pPr>
      <w:r>
        <w:t>Résumé :</w:t>
      </w:r>
    </w:p>
    <w:p>
      <w:r>
        <w:t xml:space="preserve">L'étude que nous avons réalisé avait pour objectif la doter mination de l'influance des paramètres de lamimage sur les propriètés mécaniques.pour cela,nous avons commencé notre travail par une étude bibliographique qui nous à permis d'analyser un bon nonbre de travaux de recherche ayant trait au laminage contrôlé des aciers à haute limite d'élasticité et à l'influence des différents mécanismes qui prennent naissance pendant la déformation à chaud et cela sous l'effet de la </w:t>
        <w:br/>
        <w:br/>
        <w:t xml:space="preserve">présence des éléments d'additions.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