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l'affinement de la structure d'un acier à bas carbone (c11b) par le refroidissement accéléré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Alimat; Abdelbaqui/ Université Badji Mokhtar/ Kliouchnik, 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refroidissement/ carbone/ acier/ affinement/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L'éruce des transformations structurales et propriétés d'un acier ordinaire à bas carbone en vue de l'amélioration des caractéristiques mécaniques nous a permis d'extraire les conclusions comme suite sur les aspects thécriques et pratiques du traitement thermique des aciers de ce type.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