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l'affinement de la structure d'un acier à bas carbone (c11b) par le refroidissement accéléré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Alimat; Abdelbaqui/ Université Badji Mokhtar/ Kliouchnik,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refroidissement/ carbone/ acier/ affinement/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L'éruce des transformations structurales et propriétés d'un acier ordinaire à bas carbone en vue de l'amélioration des caractéristiques mécaniques nous a permis d'extraire les conclusions comme suite sur les aspects thécriques et pratiques du traitement thermique des aciers de ce type.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