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Analyse statistique des modéles généralisés de durées de vie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Meribout;  Khaoula Kaouter/ Université Badji Mokhtar/ Seddik,  Ameur Nacira/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 de survie/ distribution rayleigh/ tests d'ajustement du chi-deux modifié/ </w:t>
            </w:r>
          </w:p>
        </w:tc>
      </w:tr>
    </w:tbl>
    <w:p>
      <w:pPr>
        <w:pStyle w:val="Heading3"/>
      </w:pPr>
      <w:r>
        <w:t>Résumé :</w:t>
      </w:r>
    </w:p>
    <w:p>
      <w:r>
        <w:t>Ce travail de recherche concerne d'abord l'étude de nouvelles distributions</w:t>
        <w:br/>
        <w:br/>
        <w:t>statistiques, très flexibles, capables de décrire une large variété de données,</w:t>
        <w:br/>
        <w:br/>
        <w:t>appelées la nouvelles Weibull-Weibull (NWW) et la nouvelle Weibull-</w:t>
        <w:br/>
        <w:br/>
        <w:t>Rayleigh (NWR). Basés sur ces distributions, des modèles à durée de vie</w:t>
        <w:br/>
        <w:br/>
        <w:t xml:space="preserve">accélérée (AFT) ont été développés. </w:t>
        <w:br/>
        <w:br/>
        <w:br/>
        <w:br/>
        <w:br/>
        <w:br/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