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dislocations de l'alliage Cu - Zn - AI en phase B - liaison avec les transformations martensitiques thermoelastiques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Rios Jara; David/ Delaey, L/ Université Claude-Bernard Lyon 1/ </w:t>
            </w:r>
          </w:p>
        </w:tc>
      </w:tr>
      <w:tr>
        <w:trPr>
          <w:trHeight w:val="567"/>
        </w:trPr>
        <w:tc>
          <w:tcPr>
            <w:tcW w:type="dxa" w:w="3000"/>
          </w:tcPr>
          <w:p>
            <w:r>
              <w:t>Nombre de Pages</w:t>
            </w:r>
          </w:p>
        </w:tc>
        <w:tc>
          <w:tcPr>
            <w:tcW w:type="dxa" w:w="7000"/>
          </w:tcPr>
          <w:p>
            <w:r>
              <w:t>248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martensitiques/ thermoelastiques/ </w:t>
            </w:r>
          </w:p>
        </w:tc>
      </w:tr>
    </w:tbl>
    <w:p>
      <w:pPr>
        <w:pStyle w:val="Heading3"/>
      </w:pPr>
      <w:r>
        <w:t>Résumé :</w:t>
      </w:r>
    </w:p>
    <w:p>
      <w:r>
        <w:t xml:space="preserve">La diversité et complexité des problèmes associés à la transformation martensitique justifient, à notre avis, le détail et extention avec lesquels nous avons traité ce problème dans les deux chapitres bibliographiques introductifs. en particulier, nous avons essayé d'y montrer (chapitre i), que l'interrelation entre les diverses transformations de type displacif, font que la construction d'une définition de la transformation martensitique est loin d'être un problème simple: ainsi, nous avons été amenés à questionner les définitions existantes et à montrer la non-généralité des critères couram ment acceptés pour caractériser cette transformation. nous concluons alors, que l'établissement du caractère martensitique d'une transformation doit passer par la connaissance des composantes de cisaillement et dilatation de l'énergie élastique (ou au moins de celles de la déformation) associées à la formation de la nouvelle phase.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