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Particularites du comportement du manganese lors de la conversion de la fonte dans les conditions d'el-hadjar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Atamnia; T  / Université Badji Mokhtar/ Gladkikh,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comportement/ Conversion/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traitement statistique des résultats de 50 fusions industrielles en appliquant les dépendances obtenues aupatavant montre que les pertes totales en manganèse sont de 73  dont 63 avec le : scories finales. </w:t>
        <w:br/>
        <w:br/>
        <w:t>l'analyse thermodynamique des processus d'oxydation du carbone et du manganèse du cours du soufflage nous a permis d'établir le schéma et la méthode de calcule qui reffletent le comportement du manganèse dans le procédé réel.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