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Comportement structural du Z 170 VCD 542 coulé par centrifugation et destiné à la fabrication des cylindres de laminoirs à chaud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Chabour; Salem/ Université Badji Mokhtar/ Taallah, H/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chrome/ vanadium/ centrifugation/ fabrication des cylindres / motybdène/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A cours de cette étude , nous avons d'abord caractérisé la distribution et la nature des carbures initialement présents au scin du matériau , dans l'état de réception , puis une fois réalisée l'austénitisation dans diverses conditions de traitements. </w:t>
        <w:br/>
        <w:br/>
        <w:t xml:space="preserve">de l'étude bibliographique , il resssort que l'alliage d'étude a un rapport Cr/C bas. c'est un acier qui renferme des éléments fortement carburigènes </w:t>
        <w:br/>
        <w:br/>
        <w:t xml:space="preserve">a l'état livré le Z 170 DCV 542 est constitué d'une matrice martensitique avec faquelle coexiste la pertite fine. la dureté est de l'ordre de 650 hv. </w:t>
        <w:br/>
        <w:br/>
        <w:t xml:space="preserve">elle comporte des carbures primaires à base de vanadium (mc/m4c3 }), des carbures secondaires à base de chrome (M7C3 , M23C6 ) et de la cémentitc alliée ( Fe3C ). ces carbures contiennent en solution sclon des taux variables des éléments d'alliage ( chrome, vanadium , motybdène ). </w:t>
        <w:br/>
        <w:br/>
        <w:t xml:space="preserve">le molybdène existe en solution dans les carbures et dans la matrice . </w:t>
        <w:br/>
        <w:br/>
        <w:t xml:space="preserve">a une température d'austénitisation égale à 1150 °C , il ne subsiste dans la matrice que les carbures primaires . la mise en solution des carbures à base de chrome précipitant , initialement sous forme de plages , au niveau du joint de l'ex-grain de l'austénite est favorable à la lutte contre le phénoméne de fissuration 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