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structure superficielle des toles en acier extra-doux calme 4 l'aluminium au cours d'un laminage à froid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Beliardouh; Nasser-Eddine/ Université Badji Mokhtar/ Louriev, V./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aluminium/ laminage/ structure superficielle / acier extra-doux/ </w:t>
            </w:r>
          </w:p>
        </w:tc>
      </w:tr>
    </w:tbl>
    <w:p>
      <w:pPr>
        <w:pStyle w:val="Heading3"/>
      </w:pPr>
      <w:r>
        <w:t>Résumé :</w:t>
      </w:r>
    </w:p>
    <w:p>
      <w:r>
        <w:t>L'intérêt de notre étude est surtout de montrer l'importance de l'état de surface des tôles à bas carbone.</w:t>
        <w:br/>
        <w:br/>
        <w:t>bans les études analogues on considére généralement le coeur de la pièce. la surface fortement écrouie est dissoute et n'est pas prise en considération. cependant, plusieurs auteurs ont noté une nette différence entre les propriétés du coeur et de la surface. la prise en compte de cette derniére n'est pas sens importance dans de nombreuses applications industrielles car elle représente un facteur déterminant dans les aptitudes mécaniques et les propriétés physico-chimique des tôles.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