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l'influence de certains facteurs métallurgiques sur les propriétés mécaniques d'un acier à outil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Himour; Abdelaziz/ Université Badji Mokhtar/ Tokaiv,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influence/ propriétés mécaniques/ facteurs métallurgiques/ </w:t>
            </w:r>
          </w:p>
        </w:tc>
      </w:tr>
    </w:tbl>
    <w:p>
      <w:pPr>
        <w:pStyle w:val="Heading3"/>
      </w:pPr>
      <w:r>
        <w:t>Résumé :</w:t>
      </w:r>
    </w:p>
    <w:p>
      <w:r>
        <w:t>Un outil ou un ensemble d'outils sert le plus souvent à la mise en forme des matériaux. il peut s'agir d'enlèvement de matière par coupe ou de déformation à froid ou à chaud ou encore de mise en forme par moulage ; le moule constitue alors l'outil. mais l'outil peut servir parfois à des vérification de mesures . les conditions auxquelles sont soumis les outils sont extrémement variées. dans notre cas nous avons un poinçon de nuance z60cdvs destiné à la mise en forme à mi-chaud.</w:t>
        <w:br/>
        <w:br/>
        <w:t xml:space="preserve"> la stabilité de la forme, des dimensions, de la dureté, la résistance à la déformation et l'usure et l'usure de même que l'absence de fragilité sont des exigences à satisfaire.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