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Evolution en fonction des parametres d'un laminage controle experimental des proprietes structurales  d'un acier a dispersoides au carbo-manganese elaboré par l'unité s. n. s. d'el-hadjar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Triki; Abdelhafid/ Université Badji Mokhtar/ Schmitt,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laminage/ propriétés structurales/ carbo-manganese / </w:t>
            </w:r>
          </w:p>
        </w:tc>
      </w:tr>
    </w:tbl>
    <w:p>
      <w:pPr>
        <w:pStyle w:val="Heading3"/>
      </w:pPr>
      <w:r>
        <w:t>Résumé :</w:t>
      </w:r>
    </w:p>
    <w:p>
      <w:r>
        <w:t>Les aciers nvi, nv2 et nv3 sont des nuances microalliées au niobium-vanadium, produites par la société nationale de sidérurgie. à l'état de livraison, ces aciers présentent une structure ferrito-perlitique durcie par une précipitation fine (les précipités ont une taille de 80 à dans l'acier nv3).</w:t>
        <w:br/>
        <w:br/>
        <w:t>les températures de mise en solution des dispersoides dans les aciers nv1 et nv2 ont été estimées à 1200 et 1250°c respectivement.</w:t>
        <w:br/>
        <w:br/>
        <w:t>ces deux aciers ont subi un laminage contrôlé de 1aboratoire, nous avons choisi pour celà diverses combinaisons des paramètres de laminage (température de mise en solution, taux de réduction à chaque passe de laminage, nombre de passes et température de fin de laminage).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