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phase silico - reductrice lors de lelaboration de lacier inoz &amp;8c19 dans un four bilote type ld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Rezine; Rachid/ Université Badji Mokhtar/ Atoui, L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silicium/ four/ l'acier/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travail, nous avons étudié les conditions d'équilibre laitiermétal pendant la phase silico-réductrice lors de l'élaboration de l'acier inoxydable ferritique z8c19 (cr = 18,0 + 20,0 %) en poche pilote type ld. </w:t>
        <w:br/>
        <w:br/>
        <w:t xml:space="preserve">les résultats des essais effectués montrent que le partage du chrome entre la scorie et le bain ((c,203)/[c;]) a tendance à augmenter avec: </w:t>
        <w:br/>
        <w:br/>
        <w:t xml:space="preserve">- l'augmentation de la teneur en oxyde de fer de la scorie (cr203)/icr] = 0,4 pour feo = 5,10 % et (cr203)/{cr] = 0,83 lorsque feo = 17,36%; - la diminution de la teneur en silicium dans le bain {cr203)/[cr] = 0,4 pour si = 1,079 % et (cr203)/icr] = 0,74 lorsque si = 0,176%; - et la diminution de la basicité du laitier (%cr) = 2,88% pour v = 1,75 et (%cr) = 8,03 % lorsque v = 1,30. </w:t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