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de la modification par le na sur la structure et les proprietes de l'as13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Zerari; Aicha Beya/ Université Badji Mokhtar/ Labed.L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influence/ propriétés/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Suite a cette étude pratique on est arrivé à conclure que : a l'état non modifié , la structure de l'alliage eutectique est caractérisée par la présence de silicium eutectique sous forme de lamelles grossières et par de gros cristaux de silicium primaire . cette structure donne à l'alliage des propriétés mécaniques médiocres ( rm = 159,1 mpa ; e = 74,1 mpa ;a = 2,85% ). le traitement du bain liquide que nous avons effectué par les sels se sodium , a apporté un changement radical de la structure ; de la forme lamellaire à la forme fibreuse très fine . cette transition de la structure a conduit à une amélioration des caractéristiques (surtout de l'allongement) . cependant, on remarque une tendance à la diminution de la compacité . </w:t>
        <w:br/>
        <w:br/>
        <w:t xml:space="preserve">on constate que l'efficacité de notre traitement est conditionnée par les paramètres : teneur en sodium et temps de maïntien . en effet , à faible teneur , la structure obtenue est non modifiée malgré la présence d'une finesse de l'eutectique et la disparition de cristaux de silicium primaire . ce qui a conduit à une légère amélioration des caractéristiques sans changement notable au niveau de la porosité.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