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Obtention du composite Cu-TiO;-Cu:Ti par frittage du mélange Cu +3 % mass. CUO + X % mass. Ti,  (0,5&lt;X &lt; 3)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Adel/ Université Badji Mokhtar/ Boudebane, S/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composite/ frittage/ </w:t>
            </w:r>
          </w:p>
        </w:tc>
      </w:tr>
    </w:tbl>
    <w:p>
      <w:pPr>
        <w:pStyle w:val="Heading3"/>
      </w:pPr>
      <w:r>
        <w:t>Résumé :</w:t>
      </w:r>
    </w:p>
    <w:p>
      <w:r>
        <w:br/>
        <w:br/>
        <w:br/>
        <w:br/>
        <w:t xml:space="preserve">L'objectif de ce travail est l'élaboration par le procédé de la métallurgie des poudres du composite à matrice de cuivre renforcée simultanément par dispersion d'une phase réfractaire (tio2) et par précipitation de l'intermétallique cu:t1. </w:t>
        <w:br/>
        <w:br/>
        <w:t xml:space="preserve">cette structure est obtenue par frittage actif du mélange de poudres cu + 3°omass-cuo + xomasst1, où (0,5&lt; x &lt;3) dans les conditions suivantes : </w:t>
        <w:br/>
        <w:br/>
        <w:t xml:space="preserve">tr=1173k, tr=(1,8-144)k°s. </w:t>
        <w:br/>
        <w:br/>
        <w:t xml:space="preserve">l'apparition de tio; et de cu:ti dans la matrice de cu, a permis d'introduire un écrouissage cozme opération finale d'élaboration du composite, les investigations ont montré que la disposition de ces renforts, élève sensiblement la température de recnistallisation du cuivre, offrant la possibilité d'utiliser ce composite ainsi consolidé dans îles conditions de température relativement plus sévères, (jusqu'à 573k).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