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du manganèse, du cuivre et du manganèse - cuivre sur la structure et les propriétés mécaniques des fontes à graphite sphéroïdal (FGS 38-15) et grise (F2S)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Goumeidane; Fayçal / Université Badji Mokhtar/ Hadji, 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carburigène/ Ionte/ gammagène/ sphéroidisation/ </w:t>
            </w:r>
          </w:p>
        </w:tc>
      </w:tr>
    </w:tbl>
    <w:p>
      <w:pPr>
        <w:pStyle w:val="Heading3"/>
      </w:pPr>
      <w:r>
        <w:t>Résumé :</w:t>
      </w:r>
    </w:p>
    <w:p>
      <w:r>
        <w:t xml:space="preserve">les fontes sont des matériaux dont on cherche continuellement à élargir le domaine d'application du fait de leur bonnes propriétés mécaniques et du faible coût de leur élaboration. </w:t>
        <w:br/>
        <w:br/>
        <w:t xml:space="preserve">l'addition d'élément à la fonte entraîne la formation d'une structure particulière. pour comprendre l'évolution de la microstructure obtenue, il faut tenir compte de la nature et de ia proportion des éléments ajoutés. </w:t>
        <w:br/>
        <w:br/>
        <w:t xml:space="preserve">dans le cadre de ce travail, nous avons pris en considération l'action du manganèse, du cuivre ct du manganèse-cuivre dans les fontes à graphite sphéroïdal (fgs 38-15) et grise (ft 25) élaborées au sein de la fonderie s.n.v.i. rouiba. </w:t>
        <w:br/>
        <w:br/>
        <w:t xml:space="preserve">nous avons étudié l'influence de ces deux éléments sur la microstructure ct les propriétés mécaniques. en outre, l'influence du traitement thermique de ferritisation sur la dissolution des carbures eutectiques, afin d'augmenter les propriétés de ductilité des fontes à graphite sphéroïdal, a été mis en exergue. </w:t>
        <w:br/>
        <w:br/>
        <w:t xml:space="preserve">à fétat brut , nous avons constaté que l'addition du manganèse dans la fonte à graphite sphéroïdal élève la résistance à ja traction, la dureté et diminue la résilience suite à la formation d'une matrice coinplètement perlitique et des carbures eutectiques qui précipitent aux joints des grains. ceci semble bien inontrer l'effet gammagène et carburigène du manganèse. </w:t>
        <w:br/>
        <w:br/>
        <w:t xml:space="preserve">par contre, le cuivre stabilisateur de perlite, ne forme pas de carbures mais influe négativement sur la sphéroïdisation du graphite aux teneurs supérieures à 1,72 % cu ei provoque la dégénérescence du graphite. ; </w:t>
        <w:br/>
        <w:br/>
        <w:t xml:space="preserve">l'incorporation simultanée du manganèse et du cuivre est susceptible de produire une stabilisation de l'austénite ei provoque autant pour la formation de carbures (cas du manganèsc), puisque ce dernier se dissout dans la cémentite. par contre le cuivre, étant un élément graphitisant, s'oppose à l'effet anti-graphitisant du manganèse.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