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des nanotubes de carbone swcnts par ablation laser purification modification et investigations spectroscopiques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Bendjemil; Badis/ Université Badji Mokhtar/ Guerioune, M/ </w:t>
            </w:r>
          </w:p>
        </w:tc>
      </w:tr>
      <w:tr>
        <w:trPr>
          <w:trHeight w:val="567"/>
        </w:trPr>
        <w:tc>
          <w:tcPr>
            <w:tcW w:type="dxa" w:w="3000"/>
          </w:tcPr>
          <w:p>
            <w:r>
              <w:t>Nombre de Pages</w:t>
            </w:r>
          </w:p>
        </w:tc>
        <w:tc>
          <w:tcPr>
            <w:tcW w:type="dxa" w:w="7000"/>
          </w:tcPr>
          <w:p>
            <w:r>
              <w:t>242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semiconducteur/ distribution/ Purification/ nanotubes de carbone/ diamètre/ </w:t>
            </w:r>
          </w:p>
        </w:tc>
      </w:tr>
    </w:tbl>
    <w:p>
      <w:pPr>
        <w:pStyle w:val="Heading3"/>
      </w:pPr>
      <w:r>
        <w:t>Résumé :</w:t>
      </w:r>
    </w:p>
    <w:p>
      <w:r>
        <w:t xml:space="preserve">Après la découverte de la fullerène par kroto ouvre le chemin pour d'autres classes de carbone et de ses composés relatifs. les nanotubes de carbone possèdent diverses formes et structures avez lesquer'zs 5ont ouvertes de nouvelles fascinations en physique, la première esi reportée par lijyma. entre autres, les nanotubes de carbone possèdent de remarquables propriétés électroniques. leur structure électronique dépend sensiblement du diamètre et de ja chiralité (hélicité) qui prédisent son comportement électronique d'être métallique ou semi-condlucteur. l'énergie du gap du swcnt seiniconducteur change continuellement entre 0 à { ev avec la variation du diamètre du nanotube. le poteatiel d'application des swcnts est plus particulièrement dans la nano-électionique la phase semi-conductnice a une application en nano-technologie dans les transistors et l'émission de champ ainsi que ic stockage des gaz et leur utilisation comme sondes en "sts", sont aussi utilisés ans les batteries et les muscles artificiels </w:t>
        <w:br/>
        <w:br/>
        <w:t xml:space="preserve">l'imiérêt de cette thèse de doctorat d'état est d'étudier les propnetes mtrinseques aes nanotubes de carbone basés sur le système des électrons7, on utilisant des investigahoas spectroscopiques (spectroscopie optique, spectroscopie électronique à haute résolution en transmuss un "eels", la spectroscopie de phototiectrons ("xps", "ups"), "xas" et la spectroscopie raman en addition "hrmet", "hrmet/eels" ansi que "aas" ont été également introduites. l'etroite relation entre ses propriétes (comportement metallique et semi-conducteur) en fonction de son diamètre et sa chiralité a été profondément étudiée. les calculs théoriques de la structure de bande et de la densité d'état en fonction de la chiralité et du diarnètre des swcntss ont été établis.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