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inegalites ecologiques en milieu urbain et leur impact sur l'attractivite des quartiers cas d'etude :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Samira/ Djeghar, aicha/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inégalités écologiques/ développement urbain durable/ Attractivité/ </w:t>
            </w:r>
          </w:p>
        </w:tc>
      </w:tr>
    </w:tbl>
    <w:p>
      <w:pPr>
        <w:pStyle w:val="Heading3"/>
      </w:pPr>
      <w:r>
        <w:t>Résumé :</w:t>
      </w:r>
    </w:p>
    <w:p>
      <w:r>
        <w:t>L'Intérêt de la notion des inégalités écologiques dans le cadre du développement urbain durable est certain. Cette notion  qui est par définition le croisement des dimensions environnementales et sociales, représente désormais un enjeu majeur dans les perspectives de développement des villes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