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Rôle de la phase liquide dans la formation des composites fer-carbures obtenus par frittage réactif /compression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Kahloul; Latifa/ Université Badji Mokhtar/ Boudebane, Said/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compression/ cermet/ frittage/ </w:t>
            </w:r>
          </w:p>
        </w:tc>
      </w:tr>
    </w:tbl>
    <w:p>
      <w:pPr>
        <w:pStyle w:val="Heading3"/>
      </w:pPr>
      <w:r>
        <w:t>Résumé :</w:t>
      </w:r>
    </w:p>
    <w:p>
      <w:r>
        <w:t xml:space="preserve">Le frittage réactif des mélanges de poudres (ti - cr - w -mo - graphite) sous compression uniaxiale, a été utilisé pour obtenir des pastilles de carbures cémentés (carbures complexes - alliage fer - nickel). les résultats des investigations ont montré que les températures d'amorçage des effets thermiques (t4), et de frittage (tux), la structure et la densité relative du matériau, se sont avérées sensibles aux additions de fer -nickel. le frittage en présence d'un taux croissant de dilution se distingue par un abaissement de ta et une diminution de l'effet thermique des réactions. la formation des carbures se fait d'une manière incomplète ou sélective. les carbures de titane et de chrome se sont formés instantanément lors du pic exothermique, par contre, les carbures de tungstène et de molybdène sont le résultat d'une diffusion incomplète du carbone en phase solide. le maintien isotherme sous charge à 1100°c, a permis d'une part, d'accélérer les mécanismes de densification du matériau par écoulement de matière, et d'autre part d'achever la formation des carbures. la densité du matériau et sa dureté, dépendront de la teneur du liant. pour un taux de 50%(fe-ni), sa densité relative est de 95%, et sa dureté de 78 hra.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