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caractère de la dissolution d'aciers inoxydables à 13 et 15 % Cr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Termemil; farida/ Université Badji Mokhtar/ Talhi, B    / </w:t>
            </w:r>
          </w:p>
        </w:tc>
      </w:tr>
      <w:tr>
        <w:trPr>
          <w:trHeight w:val="567"/>
        </w:trPr>
        <w:tc>
          <w:tcPr>
            <w:tcW w:type="dxa" w:w="3000"/>
          </w:tcPr>
          <w:p>
            <w:r>
              <w:t>Nombre de Pages</w:t>
            </w:r>
          </w:p>
        </w:tc>
        <w:tc>
          <w:tcPr>
            <w:tcW w:type="dxa" w:w="7000"/>
          </w:tcPr>
          <w:p>
            <w:r>
              <w:t>72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électrochimiques/  inoxydables/ </w:t>
            </w:r>
          </w:p>
        </w:tc>
      </w:tr>
    </w:tbl>
    <w:p>
      <w:pPr>
        <w:pStyle w:val="Heading3"/>
      </w:pPr>
      <w:r>
        <w:t>Résumé :</w:t>
      </w:r>
    </w:p>
    <w:p>
      <w:r>
        <w:br/>
        <w:br/>
        <w:t xml:space="preserve">Les essais électrochimiques complètés par des analyses chimiques et des observations au meb nous ont permis de juger le comportement vis à vis de la corrosion des deux nuances d'aciers d'étude et de préciser le caractère de la dissolution dans différents milieux et dans différentes conditions de polarisation anodique. </w:t>
        <w:br/>
        <w:br/>
        <w:t xml:space="preserve">les courbes de polarisation potentiocinétiques nous ont permis de déterminer les différents domaines de comportement des deux aciers. </w:t>
        <w:br/>
        <w:br/>
        <w:t xml:space="preserve">en milieu acide la courbe obtenue pour l'aisi 410 décrit quatre domaines activité, passivité, passivité secondaire et transpassivité. </w:t>
        <w:br/>
        <w:br/>
        <w:t xml:space="preserve">pour la nuance apx4, le pic d'activité est trés peu apparent. en milieu chloruré, les courbes potentiocinétiques cycliques ont permis de définir trois domaines de comportement pour les deux nuances d'aciers. </w:t>
        <w:br/>
        <w:br/>
        <w:t xml:space="preserve">- un domaine de passivité parfaite compris entre ec et epr. - un domaine de passivité imparfaite compris epr et er - un domaine de piqüration. l'envergure de l'hysterisis obtenue lors du balayage aller-retour est liée à la susceptibilité des deux alliages d'étude à la corrosion caverneuse. l'étude de l'influence de la concentration en chlorures sur les potentiels de piqûration et de protection a permis de bien illustrer les rôles fondamentaux du potentiel et de la concentration en ions agréssifs développées dans la littérature. pour des concentrations élevées en chlorures, le potentiel de rupture tend vers une valeur quasistationnaire, ce qui est en accord avec la théorie de destruction de la couche de passivité par un processus de microcavités consécutif à l'adsorption compétitives des ions chlorures. </w:t>
        <w:br/>
        <w:br/>
        <w:t xml:space="preserve">pour des concentrations en chlorures relativement faibles, le rôle du potentiel éléctrochimique devient déterminant, ce qui est en faveur du mécanisme de destruction du film par rupture mécanique proposé par un certain nombre de chercheurs. </w:t>
        <w:br/>
        <w:br/>
        <w:t xml:space="preserve">d'une manière générale, les informations obtenues sont parfois contradictoires, et le processus n'est pas complètement élucidé. </w:t>
        <w:br/>
        <w:br/>
        <w:t xml:space="preserve">les différentes théories existantes,ayant des points de convergence ou de discorde demeurent compétitives. nos résultats expérimentaux ont permis de confirmer la validité de </w:t>
        <w:br/>
        <w:br/>
        <w:t xml:space="preserve">l'une ou l'autre des théories sans qu'aucune d'elles ne puissent universellement être appliquée à </w:t>
        <w:br/>
        <w:br/>
        <w:t xml:space="preserve">tous les cas. </w:t>
        <w:br/>
        <w:br/>
        <w:t xml:space="preserve">les résultats d'analyse des ions passés en solution en régime de polarisation anodique ont permis d'expliquer les contradictions relevées dans la littérature concernant le caractère de la dissolution. en effet dans notre travail nous avons pu constater que les concentrations des ions passés en solution dépendent des conditions opératoires telles que le ph, du potentiel </w:t>
        <w:br/>
        <w:br/>
        <w:t>imposé, la composition de l'alliage et la durée de l'essai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