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métallurgique et tribologique d'une prothèse totale de hanche en acier inoxydable austénitique AISI316L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Fellah; Mamoune/ Université Badji Mokhtar/ Labaiz, Mohamed/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tribologie/ corrosion/ prothèses de hanche/ les biomatériaux/ </w:t>
            </w:r>
          </w:p>
        </w:tc>
      </w:tr>
    </w:tbl>
    <w:p>
      <w:pPr>
        <w:pStyle w:val="Heading3"/>
      </w:pPr>
      <w:r>
        <w:t>Résumé :</w:t>
      </w:r>
    </w:p>
    <w:p>
      <w:r>
        <w:br/>
        <w:br/>
        <w:t>L'objectif de ce travail c'est d'étudier le comportement métallurgique et tribologique d'une prothèse totale de hanche en acier inoxydable aisi 316l, on simule les conditions de travail d'une prothèse de hanche ; et pour cela on a préconisé pour la caractérisation de ce matériau, le profil de microdureté, la microscopie optique, la microscopie électronique à balayage, la diffraction des rayons x, profil de rugosité, l'analyse spectrale et l'analyse par eds.</w:t>
        <w:br/>
        <w:br/>
        <w:t>le circuit ouvert, et les techniques potentiodynamique et potentiodynamique cyclique ont été utilisés pour étudier le comportement électrochimique, le but de ces derniers c'est d'évaluer l'une des propriétés électrochimiques la plus importante du matériau étudié, nommé la vitesse de corrosion. dans des conditions physiologiques simulées à celle du corps humain (solution de ringer et naci 9 g/l) avec un ph 7.4 contrôlé à 37°c, les résultats électrochimiques obtenus dans ce travail montrent globalement une résistance à la corrosion très importante et des vitesses de corrosion très lentes (230e-6 à 332.1e-6 mm/y) ce qui nous incite à classer l'acier inox aisi316l comme un matériau de choix pour l'utilisation dans des milieux biologiques</w:t>
        <w:br/>
        <w:br/>
        <w:t>on s'intéresse aussi à l'étude du comportement tribologique au moyen des tests d'usure en contact plan et linéaire utilisant des machines réalisées au niveau de laboratoire lmgm (pion sur disque et sphère sur plan). ces tests consistent à mesurer la perte de masse et les coefficients de frottement des matériaux étudiés sous différentes conditions de charge (19.43, 28 et 44n) et de vitesse de glissement (600tr/min et 1020 tr/min) dans le cas lubrifié et sec on utilisant une solution physiologique. les valeurs du coefficient de frottement obtenus dans ce travail sont confirmées par les résultats bibliographiques et respectent les normes imposées par le domaine du biomédical</w:t>
        <w:br/>
        <w:br/>
        <w:t>notamment au niveau de l'état de surface articulaires des prothèses de hanche.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