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textures de déformation et de recristallisation d'un acier doux calmé à l'aluminium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Boutbicha; Ahmed/ Université Badji Mokhtar/  Bouzabata, 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acier/ déformation/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premier but cherché dans ce travail est de déterminer si la précipitation des nitrures d'aluminium après laminage à chaud s avec les conditions données s'est réalisée . car , comme discuté précédemment [1 , 5] , ce type de précipitation joue un rôle déterminant dans la formation de textures il est souhaitable de l'éviter lors du laminage à chaud et le favoriser au cours du recuit après le laminage à froid . </w:t>
        <w:br/>
        <w:br/>
        <w:t xml:space="preserve">- les mesures de dureté après des recuits isothermes d'échantillons pris après laminage à chaud montrent une augmentation de la dureté avec l'augmentation du temps de recuit , suggèrant que cette variation serait due à la précipitation du nitrure d'aluminium </w:t>
        <w:br/>
        <w:br/>
        <w:t xml:space="preserve">l'étude par diffraction des rayons x des échantillons recuits le confirme. en effet , les pics attribués à une phase précipitée de type ain , ne sont observés par diffraction des rayons x dans les échantillons recuits qu'après un temps de recuit de 8 heures de maintien , à 600°c . pour des temps plus faibles , il est difficile de détecter ces pics de précipitation. </w:t>
        <w:br/>
        <w:br/>
        <w:br/>
        <w:br/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