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patrimonialisation des edifices publics neomauresque en Algerie cas de l'hotel de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 xml:space="preserve">fig., </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style néomauresque/ évaluation patrimoniale/ édifices publics/ </w:t>
            </w:r>
          </w:p>
        </w:tc>
      </w:tr>
    </w:tbl>
    <w:p>
      <w:pPr>
        <w:pStyle w:val="Heading3"/>
      </w:pPr>
      <w:r>
        <w:t>Résumé :</w:t>
      </w:r>
    </w:p>
    <w:p>
      <w:r>
        <w:t>La présenterecherche porte sur la nécessité de reconnaissance des édifices publics néomauresques partie inttégrante dela production architecturale du XXesiècle en Algérie. Bien que ce legs colonial, composante non négligeable du paysage urbain des villes algériennes véhicule une panoplie de valeurs patrimoniales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