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Vivre en ville, le lien social à l'épreuve des nouvelles formes d'habitat.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Benzerara, Amine/ Boukhemis, Kaddour/ </w:t>
            </w:r>
          </w:p>
        </w:tc>
      </w:tr>
      <w:tr>
        <w:trPr>
          <w:trHeight w:val="567"/>
        </w:trPr>
        <w:tc>
          <w:tcPr>
            <w:tcW w:type="dxa" w:w="3000"/>
          </w:tcPr>
          <w:p>
            <w:r>
              <w:t>Nombre de Pages</w:t>
            </w:r>
          </w:p>
        </w:tc>
        <w:tc>
          <w:tcPr>
            <w:tcW w:type="dxa" w:w="7000"/>
          </w:tcPr>
          <w:p>
            <w:r>
              <w:t>99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w:t>
            </w:r>
          </w:p>
        </w:tc>
      </w:tr>
      <w:tr>
        <w:trPr>
          <w:trHeight w:val="567"/>
        </w:trPr>
        <w:tc>
          <w:tcPr>
            <w:tcW w:type="dxa" w:w="3000"/>
          </w:tcPr>
          <w:p>
            <w:r>
              <w:t>Diplôme</w:t>
            </w:r>
          </w:p>
        </w:tc>
        <w:tc>
          <w:tcPr>
            <w:tcW w:type="dxa" w:w="7000"/>
          </w:tcPr>
          <w:p>
            <w:r>
              <w:t>Magistère.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ville/ correlation/ Contextes spatial et social/ </w:t>
            </w:r>
          </w:p>
        </w:tc>
      </w:tr>
    </w:tbl>
    <w:p>
      <w:pPr>
        <w:pStyle w:val="Heading3"/>
      </w:pPr>
      <w:r>
        <w:t>Résumé :</w:t>
      </w:r>
    </w:p>
    <w:p>
      <w:r>
        <w:t>La ville est par excellence un lieu créé par une société donnée à une époque donné pour vivre ensemble. Les caractères et caractéristiques de ce vivre ensemble découlent en grande partie de la corrélation entre le mode de vie des populations, le fonctionnement et la morphologie de la ville et les typologies architecturales et urbanistiques.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