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écologique de l'estuaire du mafrag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Haridi; Ahcène/ Ounissi,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stratification/ Azote, Phosphore/ </w:t>
            </w:r>
          </w:p>
        </w:tc>
      </w:tr>
    </w:tbl>
    <w:p>
      <w:pPr>
        <w:pStyle w:val="Heading3"/>
      </w:pPr>
      <w:r>
        <w:t>Résumé :</w:t>
      </w:r>
    </w:p>
    <w:p>
      <w:r>
        <w:t>L’hydrosystème du Mafrag est un estuaire temporaire de plaine côtière qui recèle</w:t>
        <w:br/>
        <w:br/>
        <w:t xml:space="preserve">des zones humides singulières en Méditerranée par le régime hydrologique et par la diversité d’entités hydrologiques (rivières, estuaires, marécages). La distribution des masses d’eaux et des nutriments a été suivie deux fois par mois en 2005 &amp; en 2006 dans quatre stations de l’estuaire aval, alors que la distribution spatiale a fait l’objet de quatre campagnes saisonnières en 2006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