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Invasion par acaia mearnsu de wild quels risques sur quercus suber l dans le parc national d'el kala au nord est algérien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Sahri; Fatima Zohra ep Refes/ Université Badji Mokhtar/ Boudiaf, Iméne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quercus suber/ allélopathie/ invasion biologique/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Les écosystèmes des pays du Maghreb arabe abritent une faune et une flore exotique </w:t>
        <w:br/>
        <w:br/>
        <w:t>envahissante dont les menaces s’amplifieraient graduellement avec le changement climatique.</w:t>
        <w:br/>
        <w:br/>
        <w:t xml:space="preserve">Les stratégies et les plans d’actions nationaux dédiés à la lutte contre ces espèces sont encore </w:t>
        <w:br/>
        <w:br/>
        <w:t>peu mis en œuvre et rencontrent des contraintes diverses. Afin d’établir ces plans d’une</w:t>
        <w:br/>
        <w:br/>
        <w:t xml:space="preserve">manière adéquate, il est nécessaire de porter un regard analytique sur les causes d’invasion </w:t>
        <w:br/>
        <w:br/>
        <w:t>pour une meilleure orientation du choix des moyens de lutte. Notre étude vise à approfondir</w:t>
        <w:br/>
        <w:br/>
        <w:t xml:space="preserve">nos connaissances sur l’envahissement des subéraies du Parc National d’El Kala (PNEK) par </w:t>
        <w:br/>
        <w:br/>
        <w:t>Acacia mearnsii.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