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 et concentration d’éléments de terres rares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Taamallah; Ahlem/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stabilité/ terres rares/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Pour cette même terre rare, une très bonne efficacité de piégeage et une </w:t>
        <w:br/>
        <w:br/>
        <w:t>excellente stabilité de l’émulsion ont été obtenues pour une phase interne d’acide</w:t>
        <w:br/>
        <w:br/>
        <w:t xml:space="preserve">nitrique (0,2N). Un rapport de traitement de 20/200 a été choisi dans cette étude. </w:t>
        <w:br/>
        <w:br/>
        <w:t>Le kérosène s’est avéré être le meilleur choix de diluant, enfin, la température a</w:t>
        <w:br/>
        <w:br/>
        <w:t>démontré un effet significatif sur l’extraction de samarium.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