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Influence des éléments carburigènes sur la microstructure et le comportement à l'usure des fontes blanches au chrome alliées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Maouche; Hichem/ Université Badji Mokhtar/ Hadji,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microstructure/ carburigènes/ fontes blanches / chrome alliées / </w:t>
            </w:r>
          </w:p>
        </w:tc>
      </w:tr>
    </w:tbl>
    <w:p>
      <w:pPr>
        <w:pStyle w:val="Heading3"/>
      </w:pPr>
      <w:r>
        <w:t>Résumé :</w:t>
      </w:r>
    </w:p>
    <w:p>
      <w:r>
        <w:t>Au cours de ces dernières années, s'est beaucoup accru l'intérêt provoqué par les alliages fe-ccr. toutefois, et en dépit de l'abondante documentation qui leur a été consacrée dans notre plan théorique et sur le terrain même de leur application " à savoir l'usure ". la plupart des pièces coulées dans ces alliages doivent impérativement résister à l'usure par frottement et abrasion. ces deux domaines particuliers ont vu, néanmoins, se réaliser de grands progrès dans la connaissance de ces alliages (nuances à 15 % cr), et c'est à partir des travaux [1], que les chercheurs de tous pays se sont intéressés par ces problèmes.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