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des éléments carburigènes sur la microstructure et le comportement à l'usure des fontes blanches au chrome alliées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Maouche; Hichem/ Université Badji Mokhtar/ Hadji,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carburigènes/ fontes blanches / chrome alliées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dernières années, s'est beaucoup accru l'intérêt provoqué par les alliages fe-ccr. toutefois, et en dépit de l'abondante documentation qui leur a été consacrée dans notre plan théorique et sur le terrain même de leur application " à savoir l'usure ". la plupart des pièces coulées dans ces alliages doivent impérativement résister à l'usure par frottement et abrasion. ces deux domaines particuliers ont vu, néanmoins, se réaliser de grands progrès dans la connaissance de ces alliages (nuances à 15 % cr), et c'est à partir des travaux [1], que les chercheurs de tous pays se sont intéressés par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