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l'influence du durcissement structural sur les caractéristiques de l'alliage d'aluminiun du type as7g06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Hamidane; Fateh/ Université Badji Mokhtar/ Hamani, Med S/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précipitation/ alliages d'aluminium/ durcissement structural/ </w:t>
            </w:r>
          </w:p>
        </w:tc>
      </w:tr>
    </w:tbl>
    <w:p>
      <w:pPr>
        <w:pStyle w:val="Heading3"/>
      </w:pPr>
      <w:r>
        <w:t>Résumé :</w:t>
      </w:r>
    </w:p>
    <w:p>
      <w:r>
        <w:t>Grâce à leurs bonnes caractéristiques mécaniques, l'aluminium et ses alliages se</w:t>
        <w:br/>
        <w:br/>
        <w:t>caractérisent par leurs larges utilisations dans les divers domaines de l'industrie. l'utilisation de l'alumimum et de ses alliages à l'état brut de coulée ne satisfait pas les</w:t>
        <w:br/>
        <w:br/>
        <w:t>différentes conditions de hautes sollicitations et donnent des produits de faibles caractéristiques mécaniques, mais lorsqu'on applique des cycles thermiques; on voit une très grande amélioration de ces dernières.</w:t>
        <w:br/>
        <w:br/>
        <w:t>dans le cadre de cette étude, nous avons étudié l'influence des conditions des traitements thermiques de l'alliage d'aluminium du type as7g06 élaboré au sein de la société nationale s.n.v.l de rouïba. nous avons cherché à trouver les paramètres optimaux des traitements</w:t>
        <w:br/>
        <w:br/>
        <w:t>thermiques qui intéressent l'industrie et la recherche à la fois. les propriétés maximales sont celles obtenues par la mise en solution (homogénéisation) de l'alliage as7g06 à 540°c pendant 10h suivie d'un trempe à l'eau et d'un revenu 140°c pendant 6h ; cela s'explique par la grande quantité de précipités, leurs finesses et leurs bonnes répartition dans la matrice d'aluminium. ce qui se traduit par l'augmentation des caractéristiques mécaniques de dureté et de la résistance à la traction ainsi que la microdureté ; ces valeurs augmentent de 100% par rapport aux caractéristiques à l'état brut de coulée par contre l'allongement est diminue presque de 100%. la chute des propriétés et leurs caractéristiques est observée dans le cas de mise en solution de 8h et trempe dans l'huile et suivie d'un revenu à 200°c pendant 12h. du point de vue structurale, il n'y a pas une grande différence entre les différentes microstructures que ce soit après traitement de mise en solution ou bien avec traitement de revenu.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