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principales causes du rebut laminoir a chaud "sider" origines, descriptions et remedes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Bensouilah; Hacene/ Université Badji Mokhtar/ Zahzouh, M /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laminoir/ descriptions et remedes/ </w:t>
            </w:r>
          </w:p>
        </w:tc>
      </w:tr>
    </w:tbl>
    <w:p>
      <w:pPr>
        <w:pStyle w:val="Heading3"/>
      </w:pPr>
      <w:r>
        <w:t>Résumé :</w:t>
      </w:r>
    </w:p>
    <w:p>
      <w:r>
        <w:t>Les matériaux ou plutot, les structures sont généralement calculées, de manière qu'en aucun point les contraintes ne dépassent la limite d'élasticité du métal. ces contraintes comme on l'a vu, peuvent être dues à des pressions internes ou externes, à des éfforts ponctuels. etc; elles peuvent être appliquées de façon statique ou dynamique et être macroscopiquement très différentes (traction, pliage, torsion....etc).</w:t>
        <w:br/>
        <w:br/>
        <w:t>même dans les cas complexes de déformation comme le laminage, ce dimensionnement est devenu théoriquement possible grace au developpement des moyens de calcul. ce qui, normalement devrait mettre les structures à l'abri de la rupture ou de l'endommagement classique générateur de défauts.</w:t>
        <w:br/>
        <w:br/>
        <w:t>malheureusement, dans la pratique le choix des qualités d'acier destiné a travailler à une température et en une épaisseur donnée sans fissuration eventuelle est particulièrement délicat, car comme on l'aconstaté les nombreux paramètres qui interviennent sur la rupture ont un effet difficilement quantifiable en état actuel des théories.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