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l'usure des outils et son impact sur les parametres thechnologiques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Bouziane; Abderahim/ Université Badji Mokhtar/ Boulanouar,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vibration/ effort de coupe/ tournage dur/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Actuellement les aciers trempés jouent un rôle extrêmement important dans l’industrie </w:t>
        <w:br/>
        <w:br/>
        <w:t xml:space="preserve">mécanique. Ils présentent des propriétés mécaniques très sévères par rapport aux aciers à </w:t>
        <w:br/>
        <w:br/>
        <w:t>l’état recuit. Ces caractéristiques rendent leur usinage très difficile, ce qui conduit</w:t>
        <w:br/>
        <w:br/>
        <w:t xml:space="preserve">généralement à des durées de vie des outils très limitées. Par conséquent, il est très intéressant </w:t>
        <w:br/>
        <w:br/>
        <w:t xml:space="preserve">de trouver le matériau à outil et les conditions de coupe permettant un usinage performant et </w:t>
        <w:br/>
        <w:br/>
        <w:t xml:space="preserve">productif.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