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Performances habitat dependantes des mugilides des cotes de l'est algerien embonpoint et croissance differentiels des juveniles 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Becheker; Ali/ Chaoui, Lamya/ Université Badji Mokhtar/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écologie/ croissance journalière/ eaux de transition./ </w:t>
            </w:r>
          </w:p>
        </w:tc>
      </w:tr>
    </w:tbl>
    <w:p>
      <w:pPr>
        <w:pStyle w:val="Heading3"/>
      </w:pPr>
      <w:r>
        <w:t>Résumé :</w:t>
      </w:r>
    </w:p>
    <w:p>
      <w:r>
        <w:t>Ce travail est destiné à l'étude de l'habitat-dépendante, il comporte trois parties distinctes, dont la première consiste en un assemblage sur la zone d'étude (écologie), la deuxième et la troisième partie portent sur les juvéniles 0+ des espèces de mugilidae, où nous traitons respectivement les indices de conditions, et la croissance journalière différentielle.</w:t>
        <w:br/>
        <w:br/>
        <w:t>Dans la première partie, la diversité de l'ichtyofaune et les variations saisonnières de ses assemblages ont été étudiées dans quatre habitats différents sur une échelle géographique limitée de la côte Est de l'Algérie : un site franchement marin (La plage de la Caroube) et trois eaux de transition, deux estuaires (Boukhmira et Mafragh) et une lagune (Mellah).</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