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caracterisa tion des intermetalliquesTi-Al par CO-reduction des oxydes TiO2 - AI2O3  au calcium ou au magnesium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Bourmoum; Zebida/ Université Badji Mokhtar/ Boudebane, 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calcium/ oxydes/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L'analyse diffractométrique nous a permis de suivre l'évolution qualitative de la poudre en fonction du temps de réduction. </w:t>
        <w:br/>
        <w:br/>
        <w:t xml:space="preserve">on retient que la poudre est constituée en majeure partie de l'intermétallique tial pour l'intervalle [7,2 à 72,0 ks]. l'intermétallique ti3aï, évolue progressivement pour </w:t>
        <w:br/>
        <w:br/>
        <w:t xml:space="preserve">devenir le constituant principal pour le reste du maintien. </w:t>
        <w:br/>
        <w:br/>
        <w:t xml:space="preserve">ceci montre l'influence du rapport  al2o3 / tio2 = 1/2 favorisant beaucoup plus l'enrichissement en titane de la poudre préalliée avec le prolongement du maintien. </w:t>
        <w:br/>
        <w:br/>
        <w:t xml:space="preserve">le rapport  al/ti  calculé à partir des données de l'analyse par e.d.a.x. le montre bien. </w:t>
        <w:br/>
        <w:br/>
        <w:t xml:space="preserve">ceci est aussi confirmé par l'évolution de paramètres cristallographiques du réseau </w:t>
        <w:br/>
        <w:br/>
        <w:t xml:space="preserve">hexagonal de la phase ti3al qui accuse des changement en fonction du temps de réduction. </w:t>
        <w:br/>
        <w:br/>
        <w:t xml:space="preserve">la séparation granulométrique et analyse par miscroscopie électronique à balayage ont montré que la poudre résultant de la réduction est de forme irréguliére est d'une taille moyenne de 63 pm. </w:t>
        <w:br/>
        <w:br/>
        <w:t xml:space="preserve">on peut donc conclure, que les conditions expérimentales mises en oeuvre dans ce travail sur l'élaboration des intermétalliques titane-aluminium, sont plus aptes a la réduction </w:t>
        <w:br/>
        <w:br/>
        <w:t xml:space="preserve">au calcium qu'a la réduction au magénsium. </w:t>
        <w:br/>
        <w:br/>
        <w:t xml:space="preserve">a notre avis, il serait plus adéquat de choisir pour ce dernier une température de travail inférieure à 1243 k et d'évoluer sous une pression de gaz inerte pour minimiser les </w:t>
        <w:br/>
        <w:br/>
        <w:t>pertes par évaporation et améliorer le rendement de la réduction au magnésium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