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clinico biologique du cancer du sein exploration immunologique d'un marqueur tumoral tissulaire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Rim/ Boumendjel, Amel/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cancer du sein/ apéline/ résistance endocrine/ </w:t>
            </w:r>
          </w:p>
        </w:tc>
      </w:tr>
    </w:tbl>
    <w:p>
      <w:pPr>
        <w:pStyle w:val="Heading3"/>
      </w:pPr>
      <w:r>
        <w:t>Résumé :</w:t>
      </w:r>
    </w:p>
    <w:p>
      <w:r>
        <w:t xml:space="preserve">Notre compréhension des évènements moléculaires qui sous-tendent le développement du cancer mammaire a augmenté rapidement ces dernières années. Avec l'avènement de nouvelles méthodes de séquençage améliorées de nouvelle génération, nous sommes désormais en mesure d'approfondir plus que jamais les évènements génomiques qui jouent un rôle essentiel dans le développement du cancer mammaire. Dans notre travail, nous avons exploré des mécanismes qui peuvent être impliqués dans le développement de la cancérogenèse de la glande mammaire, en passant par le rôle de l'Apelin receptor (APLNR) dans la prolifération des cellules cancéreuses mammaires, la régulation de la voie AMPK et du processus de l'autophagie, qui peuvent participer dans les réponses de l'APLNR.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