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Rehabilitation des fonctions neurocognitives suite à un accident vasculaire cerebral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Chebbah; Fella/ Djouini, Amina/ Université Badji Mokhtar/ </w:t>
            </w:r>
          </w:p>
        </w:tc>
      </w:tr>
      <w:tr>
        <w:trPr>
          <w:trHeight w:val="567"/>
        </w:trPr>
        <w:tc>
          <w:tcPr>
            <w:tcW w:type="dxa" w:w="3000"/>
          </w:tcPr>
          <w:p>
            <w:r>
              <w:t>Nombre de Pages</w:t>
            </w:r>
          </w:p>
        </w:tc>
        <w:tc>
          <w:tcPr>
            <w:tcW w:type="dxa" w:w="7000"/>
          </w:tcPr>
          <w:p>
            <w:r>
              <w:t>112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2023</w:t>
            </w:r>
          </w:p>
        </w:tc>
      </w:tr>
      <w:tr>
        <w:trPr>
          <w:trHeight w:val="567"/>
        </w:trPr>
        <w:tc>
          <w:tcPr>
            <w:tcW w:type="dxa" w:w="3000"/>
          </w:tcPr>
          <w:p>
            <w:r>
              <w:t>Sujet(s)</w:t>
            </w:r>
          </w:p>
        </w:tc>
        <w:tc>
          <w:tcPr>
            <w:tcW w:type="dxa" w:w="7000"/>
          </w:tcPr>
          <w:p>
            <w:r>
              <w:t xml:space="preserve">réhabilitation/ accident vasculaire cérébral(avc) / cognition/ </w:t>
            </w:r>
          </w:p>
        </w:tc>
      </w:tr>
    </w:tbl>
    <w:p>
      <w:pPr>
        <w:pStyle w:val="Heading3"/>
      </w:pPr>
      <w:r>
        <w:t>Résumé :</w:t>
      </w:r>
    </w:p>
    <w:p>
      <w:r>
        <w:t xml:space="preserve">L'AVC est plus souvent invalidant que mortel, les survivants d'un AVC ont un risque élevé de récidive; d'où l'intérêt de se pencher sur les aspects thérapeutiques qui reposent essentiellement sur une prise en charge multidisciplinaire permettant une réhabilitation motrice et cognitive. Cependant, la recherche, mais aussi la stimulation d'un facteur neurochimique déficient représente une approche essentielle pour une meilleure récupération.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