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biométrique morpho phénologique et caryologique de plusieurs populations algériennes de l'espéce trifolium subterraneum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Zahira/ Université Badji Mokhtar/ Issolah, Rachida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écologiques/ biométrie/ Légumineuses fourragères/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cadre de l’évaluation et de la valorisation des ressources phytogénétiques d’intérêt fourrager et </w:t>
        <w:br/>
        <w:br/>
        <w:t>pastoral en Algérie, une étude morpho-phénologique, biométrique et caryologique a été réalisée sur</w:t>
        <w:br/>
        <w:br/>
        <w:t xml:space="preserve">vingt- six (26) populations naturelles de trèfle souterrain (Trifolium subterraneum L.), originaires de </w:t>
        <w:br/>
        <w:br/>
        <w:t>différents sites écologiques du Nord-Est de l’Algérie. L’étude morpho-phénologique et biométrique a</w:t>
        <w:br/>
        <w:br/>
        <w:t xml:space="preserve">porté sur un total de cinquante (50) caractères (33 quantitatifs relatifs au développement végétatif, </w:t>
        <w:br/>
        <w:br/>
        <w:t>floraison, formation de gousses et 17 qualitatifs liés aux feuilles, fleurs et graines). Deux facteurs</w:t>
        <w:br/>
        <w:br/>
        <w:t xml:space="preserve">écologiques (altitude et pluviométrie), concernant les habitats naturels des populations, ont été </w:t>
        <w:br/>
        <w:br/>
        <w:t>également considérés.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