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théorique de l'activité inhibitrice de quelques enzymes par le criblagr virtuel et le docking moléculaire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Benouis; Sabrina/ Université Badji Mokhtar/ Ferkous, Fouad	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tyrosinase/ criblage virtuel/ gingérol, Inibition/ </w:t>
            </w:r>
          </w:p>
        </w:tc>
      </w:tr>
    </w:tbl>
    <w:p>
      <w:pPr>
        <w:pStyle w:val="Heading3"/>
      </w:pPr>
      <w:r>
        <w:t>Résumé :</w:t>
      </w:r>
    </w:p>
    <w:p>
      <w:r>
        <w:t>meilleurs composés classés en termes d'activité inhibitrice de cox2 (pI50), il existe certains d'entre eux qui possèdent, théoriquement, des Notre travail de thèse a été consacré au criblage virtuel des chimiothèques en se basant sur le docking moléculaire et les études des relations quantitatives structure-activité (QSAR). Notre travail a été réalisé en deux parties : dans la première partie, des études de docking moléculaire ont été réalisées sur des analogues de gingérol et de l'arbutine extraits de la base de données ZINC. Les résultats obtenus à partir de docking indiquent que certains analogues ont montré un score de Moldock plus élevé (en termes d'énergie négative) par rapport au gingérol, à l'arbutine et aux inhibiteurs de tyrosinase connus expérimentalement. De plus, ces hits ancrés respectent la règle des cinq de Lipinski, affirmant que ces molécules n'ont aucun problème de biodisponibilité.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