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Infection urinaire et lithogénése etude réalisée au niveau de la région est algérien impact épidémiobgique et mesures prophylactiques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Chenaiet; Khaoula/ Université Badji Mokhtar/ Boutefnouchet, Abdelatif/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morpho-constitutionnelle/ Lithiase/ infection urinaire/ </w:t>
            </w:r>
          </w:p>
        </w:tc>
      </w:tr>
    </w:tbl>
    <w:p>
      <w:pPr>
        <w:pStyle w:val="Heading3"/>
      </w:pPr>
      <w:r>
        <w:t>Résumé :</w:t>
      </w:r>
    </w:p>
    <w:p>
      <w:r>
        <w:t>Dans le cadre de la contribution à l'étude de la lithiase urinaireen Algérie,on a établi l'impact de la lithiase infectieuse,au niveau de la région " Est Algérien ". Différents volets ont été envisagésdont le premier consacre à une étude épidémiologique sur un ensemble de 1553 caslithiasiques afin de déterminer la fréquence des calculs en rapport avec l'infection et d'établir avec le plus de précision les conditions de leur lithogenèse. Les calculs urinaires ont été analysés selon une approche morpho-constitutionnelle qui détermine, pour chaque calcul, aussi bien son typage morphologique que sa composition chimique orientant vers sur les principales étiologies responsables de sa formation.Quant à la composition des calculs, Il ressort de cette analyseune prédominance nette de l'oxalate de calcium. La lithiase d'infection, sujet de notre thème, représente 222 cas (Homme : 121 et Femme : 101).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