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Applications of plants extracts in human health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BENSACI; Narimen/ Aouadi Saoudi   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Tuberaria lignosa/ Antimicrobial activities/ crataegus azarolus/ </w:t>
            </w:r>
          </w:p>
        </w:tc>
      </w:tr>
    </w:tbl>
    <w:p>
      <w:pPr>
        <w:pStyle w:val="Heading3"/>
      </w:pPr>
      <w:r>
        <w:t>Résumé :</w:t>
      </w:r>
    </w:p>
    <w:p>
      <w:r>
        <w:t>This work gives scientific evidence to the traditional medicinal use of Crataegus azarolus fruits and</w:t>
        <w:br/>
        <w:br/>
        <w:t>wild Tuberaria lignosa leaves, highlighting their interest as sources of bioactive compounds that</w:t>
        <w:br/>
        <w:br/>
        <w:t>could be used as therapeutic agents. We isolated and characterized polysaccharides from Crataegus</w:t>
        <w:br/>
        <w:br/>
        <w:t>azarolus fruits (AZWSP). This latter yielded a 2,19 % fraction, composed of 85.58% total</w:t>
        <w:br/>
        <w:br/>
        <w:t>carbohydrates, 4.26% of protein content also contained 5.34% of polyphenols. The preliminary</w:t>
        <w:br/>
        <w:br/>
        <w:t>1</w:t>
        <w:br/>
        <w:br/>
        <w:t>13</w:t>
        <w:br/>
        <w:br/>
        <w:t>structure features were characterized using FT-IR, Maldi-TOF SM and the H and C NMR</w:t>
        <w:br/>
        <w:br/>
        <w:t>analysis. Several mechanisms for antioxidant capacity were examined, including determining</w:t>
        <w:br/>
        <w:br/>
        <w:t>-1</w:t>
        <w:br/>
        <w:br/>
        <w:t>relative free radical-scavenging (IC50 = 99 ± 2 µg.ml ), hydroxyl radical scavenging (IC50 = 106 ±</w:t>
        <w:br/>
        <w:br/>
        <w:t>-1</w:t>
        <w:br/>
        <w:br/>
        <w:t>-1</w:t>
        <w:br/>
        <w:br/>
        <w:t>3 µg.ml ) and anti-lipid peroxidation activities (IC50 = 127 ± 17 µg.ml</w:t>
        <w:br/>
        <w:br/>
        <w:t>), as well as reducing power</w:t>
        <w:br/>
        <w:br/>
        <w:t>-1</w:t>
        <w:br/>
        <w:br/>
        <w:t>(EC50 =115 µg.ml ). Furthermore, the pulp polysaccharide remained 83% undigested in the</w:t>
        <w:br/>
        <w:br/>
        <w:t>artificial digestion process and stimulated the growth o of various isolated lactobacillus species</w:t>
        <w:br/>
        <w:br/>
        <w:t xml:space="preserve">(having probiotic potential), showing a considerable prebiotic ability.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