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Radiative association and charge transfer phenomena observed in the argonium gas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Talhi; Fatima/ Bouledroua, Moncef/ Université Badji Mokhtar/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radiative association/ argonium potential-energy curves/ radiative charge transfer/ </w:t>
            </w:r>
          </w:p>
        </w:tc>
      </w:tr>
    </w:tbl>
    <w:p>
      <w:pPr>
        <w:pStyle w:val="Heading3"/>
      </w:pPr>
      <w:r>
        <w:t>Résumé :</w:t>
      </w:r>
    </w:p>
    <w:p>
      <w:r>
        <w:t xml:space="preserve">Once all the required curves are well established and their  physical features and spectroscopic values are contrasted with previously published data,  the cross sections, for both radiative processes, the formation of the molecular ion ArH </w:t>
        <w:br/>
        <w:br/>
        <w:t>by association and charge transfer are computed quantum-mechanically at lower and higher  energies. Finally, the temperature-dependent rate coe?cients are calculated and analyzed in  the temperature range 1 ? 10000K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