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pilotage de l’offre foncière économique en Algérie Cas de Annaba.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Boulbir; Laâla/ Boukhemis, Kaddour/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territoire/ investissement/  offre foncier économique/ </w:t>
            </w:r>
          </w:p>
        </w:tc>
      </w:tr>
    </w:tbl>
    <w:p>
      <w:pPr>
        <w:pStyle w:val="Heading3"/>
      </w:pPr>
      <w:r>
        <w:t>Résumé :</w:t>
      </w:r>
    </w:p>
    <w:p>
      <w:r>
        <w:t>La promotion de l’investissement privé en Algérie s’est confrontée dès ses débuts (1993) à</w:t>
        <w:br/>
        <w:br/>
        <w:t>une crise foncière profonde et récurrente que rien ne justifie apriori, si ce n’est l’attitude confuse et</w:t>
        <w:br/>
        <w:br/>
        <w:t>incertaine des bailleurs fonciers à l’égard d’un libéralisme rampant. Les édiles peinent à mettre en</w:t>
        <w:br/>
        <w:br/>
        <w:t>produit un foncier économique conséquent et adapté aux attentes des investisseurs, lesquels crient à</w:t>
        <w:br/>
        <w:br/>
        <w:t>une gestion pénurique une « chasse gardée » du foncier économique. Le cortège des réformes et</w:t>
        <w:br/>
        <w:br/>
        <w:t>contre-réformes foncières se défile à un rythme inquiétant et se décline par un empilement des</w:t>
        <w:br/>
        <w:br/>
        <w:t>règles et des institutions qui brouillent le jeu foncier. Loin de rééquilibrer les pouvoirs et d’induire</w:t>
        <w:br/>
        <w:br/>
        <w:t>une transparence de la gestion foncière, la transition perpétue, sous différentes formes, des</w:t>
        <w:br/>
        <w:br/>
        <w:t>dispositifs techniques et juridiques qui peinent à se substituer au dispositif politique d’allocation du</w:t>
        <w:br/>
        <w:br/>
        <w:t xml:space="preserve">foncier public.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