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commerce equitable, une solution alternative pour le developpement durable du monde rural algerien. Cas de la commune de Souarekh(Wilaya d'El Taref)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Mebarki; Lilia/ Boukhemis, Anissa/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monde rural/ commerce équitable/ organisation spatiale/ </w:t>
            </w:r>
          </w:p>
        </w:tc>
      </w:tr>
    </w:tbl>
    <w:p>
      <w:pPr>
        <w:pStyle w:val="Heading3"/>
      </w:pPr>
      <w:r>
        <w:t>Résumé :</w:t>
      </w:r>
    </w:p>
    <w:p>
      <w:r>
        <w:t>Le milieu rural en Algerie,comme dans la majeure partie du monde, vit dans une dimension spacio-temporelle différente de celle des villes, imprégnée d'une culture ancestrale et d'images issues de notre mémoire collective, comme s'il appartenait à un autre âge.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