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Stress oxydant induit par le tétrachlorure de carbone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Slama; Kheira/ Messarah, Mahfoud/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activité antioxydante/ criblage phytochimique/ atriplex halimus/ </w:t>
            </w:r>
          </w:p>
        </w:tc>
      </w:tr>
    </w:tbl>
    <w:p>
      <w:pPr>
        <w:pStyle w:val="Heading3"/>
      </w:pPr>
      <w:r>
        <w:t>Résumé :</w:t>
      </w:r>
    </w:p>
    <w:p>
      <w:r>
        <w:t xml:space="preserve">L'objectif de cette étude est de l'évaluation de la composition chimique, l'activité antioxydante et l'activité antibactérienne des extraits des feuilles d'A. halimus ainsi que l'effet protecteur de l'extrait aqueux d'A. halimus (AHAE) contre le stress oxydatif induit par le tétrachlorure de carbone (CCl4) chez les rats males de la souche Wistar. Les résultats du screening phytochimique révèlent la présence de la majorité des métabolites secondaires recherchés (flavonoïdes, tanins, alcaloïdes, anthocyanes, leuco-anthocyanes, saponosides, stérols et terpènes).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