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Rythme alimentaire, embonpoint et dynamique spatiotemporelle au nématode Aguillicola crassus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Ariba; Souheila/ Debali,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anguillicola crassus/ Embonpoint/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porté sur l’étude du rythme alimentaire, de l’embonpoint et de la dynamique</w:t>
        <w:br/>
        <w:br/>
        <w:t>spatio-temporelle du nématode Anguillicola crassus de l’anguille européenne Anguilla anguilla</w:t>
        <w:br/>
        <w:br/>
        <w:t>(Linnaeus, 1758). La présente étude entreprise sur un total de 802 individus, échantillonnés entre</w:t>
        <w:br/>
        <w:br/>
        <w:t>décembre 2008 et décembre 2009 dans le Lac Tonga (PNEK), a révélé que cette espèce est carnivore</w:t>
        <w:br/>
        <w:br/>
        <w:t>(poissons, cestodes, annélides, mollusques, insectes, nématodes et macrophyte) et opportuniste. La</w:t>
        <w:br/>
        <w:br/>
        <w:t>vacuité digestive moyenne est d’environ 60%. Ce prédateur semble s’alimenter activement en hiver</w:t>
        <w:br/>
        <w:br/>
        <w:t>avec un ralentissement de l’activité trophique en été. Le calcul des indices alimentaires (IRI et MFI) a</w:t>
        <w:br/>
        <w:br/>
        <w:t>montré qu’aucune proie n’était considérée préférentielle, hormis les poissons qui étaient des proies</w:t>
        <w:br/>
        <w:br/>
        <w:t>secondaires. Malgré les variations pondérales et numériques des différentes proies ingérées par ce</w:t>
        <w:br/>
        <w:br/>
        <w:t>prédateur, l’analyse statistique des contenus des tubes digestifs des anguilles en fonction des</w:t>
        <w:br/>
        <w:br/>
        <w:t>différentes saisons, des sexes et des trois stades de développement (argentés, jaunes, intermédiaires)</w:t>
        <w:br/>
        <w:br/>
        <w:t>n’a montré aucune modification significative de son régime alimentaire.</w:t>
        <w:br/>
        <w:br/>
        <w:t>L’étude de la dynamique évolutive du parasitisme a montré que A. crassus était présent durant</w:t>
        <w:br/>
        <w:br/>
        <w:t>toute l’année dans le Lac Tonga. Les valeurs de la prévalence sont comprises entre 10,7 et 56,2% et</w:t>
        <w:br/>
        <w:br/>
        <w:t>l’abondance totale de parasites par poisson infesté varie entre 2 et 7. Cet endoparasite affecte plus les</w:t>
        <w:br/>
        <w:br/>
        <w:t>anguilles argentées et les anguilles de grande taille. Cependant l'analyse statistique n'a révélé aucune</w:t>
        <w:br/>
        <w:br/>
        <w:t>variation significative en fonction du temps et du sexe. Les fluctuations des valeurs épidémiologiques</w:t>
        <w:br/>
        <w:br/>
        <w:t>peuvent être en relation avec les changements de la température des eaux.</w:t>
        <w:br/>
        <w:br/>
        <w:t>L'embonpoint des anguilles est faible 0,17m3</w:t>
        <w:br/>
        <w:br/>
        <w:t>/g et ne varie pas d’une manière significative en</w:t>
        <w:br/>
        <w:br/>
        <w:t>fonction du temps, du sexe et des stades de développement. Aussi, le parasite reste tolérable par son</w:t>
        <w:br/>
        <w:br/>
        <w:t>hôte en deçà d’un certain seuil ; le nombre limité de parasites présents dans la vessie gazeuse (2 à 7)</w:t>
        <w:br/>
        <w:br/>
        <w:t>ne semble pas affecter l'embonpoint de l’anguille. Les coefficients d’embonpoint chez les anguilles</w:t>
        <w:br/>
        <w:br/>
        <w:t xml:space="preserve">indemnes et parasitées ne présentent aucune différence significative.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