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L'heritage urbanistique colonial à skikda approche pour une mise en valeur cas du quartier napolitain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Lebied Zoulikha/ Spiga Sassia/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patrimoine/ requalification urbaine/ quartier ancien/ </w:t>
            </w:r>
          </w:p>
        </w:tc>
      </w:tr>
    </w:tbl>
    <w:p>
      <w:pPr>
        <w:pStyle w:val="Heading3"/>
      </w:pPr>
      <w:r>
        <w:t>Résumé :</w:t>
      </w:r>
    </w:p>
    <w:p>
      <w:r>
        <w:t>Le traitement des quartiers ancien devient aujourd’hui une des préoccupations</w:t>
        <w:br/>
        <w:br/>
        <w:t>majeures de tous les acteurs de la ville. Et afin d’éliminer tous type de marginalisation</w:t>
        <w:br/>
        <w:br/>
        <w:t>vis-à-vis ces quartier, il est impératif de trouver de nouvelles formules qui s’adaptent</w:t>
        <w:br/>
        <w:br/>
        <w:t>aux spécificités de ces quartiers anciens.</w:t>
        <w:br/>
        <w:br/>
        <w:t>La ville de Skikda comme bien d’autres, n’échappe pas à ces problématiques</w:t>
        <w:br/>
        <w:br/>
        <w:t xml:space="preserve">concernant la dégradation de leurs quartiers anciens. </w:t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