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qualité bactériogique de l'eau et de la moule perna perna du littoral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Dahel; zanat/ Ouzrout, Rachid/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Moule Perna perna/ Qualité bactériogique/ </w:t>
            </w:r>
          </w:p>
        </w:tc>
      </w:tr>
    </w:tbl>
    <w:p>
      <w:pPr>
        <w:pStyle w:val="Heading3"/>
      </w:pPr>
      <w:r>
        <w:t>Résumé :</w:t>
      </w:r>
    </w:p>
    <w:p>
      <w:r>
        <w:t>Cette étude porte sur l’évaluation de la qualité bactériologique des eaux et des mollusques bivalves (Perna perna) du littoral Nord-Est Algérien. Pour cela nous avons procédé à des prélèvements d’eau et de moules à partir de 5 sites, choisis en fonction de leur localisation, par rapport à différentes sources de pollution et à l’hydrodynamisme qui y règne (Cap de Garde ; Rezgui Rachid ; Sidi Salem ; H’naya et Aouinate). Les résultats des paramètres physico-chimiques de l'eau montrent des variations saisonnières. La température est l'un des facteurs qui répond le mieux au changement climatique, avec des écarts de 16 °C. La salinité montre des écarts d'environ 5 g/l entre la saison froide et la saison chaude. En ce qui concerne les teneurs en oxygène dissous, elles présentent des fluctuations fortement influencées par les variations saisonnières de la température de l'eau et le brassage engendré par les vents importants en période hivernale. Quant au pH, il est légèrement alcalin durant toute la période d'étude. Les résultats des analyses bactériologiques de l'eau, font apparaître que dans l’ensemble des sites étudiés, la contamination fécale est sporadique ; elle varie d'un mois à l'autre et d'un site à l'autre. Les coliformes thermotolérants, présentent des valeurs inférieures aux valeurs guides retenues sauf en mai et en septembre dans le site « Sidi Salem » avec également des teneurs proches des valeurs guides (93 E. coli/100ml), notées en mars, juillet et octobre. Dans les sites H’naya et Aouinate, c’est en avril que des teneurs égales à 1100 et 2400 germes/100ml d’eau, sont enregistrées respectivement. Quant aux Streptocoques fécaux, les valeurs restent inférieures aux valeurs guides au Cap de Garde, alors que les taux de contamination dépassent les limites à Rezgui Rachid (en octobre), à Sidi Salem (en novembre et décembre), et à H’naya et Aouinate (en Avril). Par ailleurs, les concentrations bactériennes dans les moules, font apparaitre des niveaux de contamination en E. coli, dépassant assez souvent les valeurs guides ; quant aux streptocoques fécaux, les valeurs relevées restent supérieures aux valeurs limites dans les 5 sites et pendant toute la période d’étude, ce qui nécessiterait avant leur consommation un reparcage et une purification plus au moins longue avant la récolte. Cette forte contamination de l’eau et des moules du site Sidi Salem, trouve son explication dans la forte anthropisation à laquelle est soumise cette zone du fait de sa proximité aux divers effluents tels que Oued Bedjimâa, Oued Seybouse et les rejets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