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écologie des ecotoparasites crustacés des poissons téléostéens de la cote est algérienne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Ramdane; Zouhir/ Djebar, M/ </w:t>
            </w:r>
          </w:p>
        </w:tc>
      </w:tr>
      <w:tr>
        <w:trPr>
          <w:trHeight w:val="567"/>
        </w:trPr>
        <w:tc>
          <w:tcPr>
            <w:tcW w:type="dxa" w:w="3000"/>
          </w:tcPr>
          <w:p>
            <w:r>
              <w:t>Nombre de Pages</w:t>
            </w:r>
          </w:p>
        </w:tc>
        <w:tc>
          <w:tcPr>
            <w:tcW w:type="dxa" w:w="7000"/>
          </w:tcPr>
          <w:p>
            <w:r>
              <w:t>235 f</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Ecotoparasite/ poissons téléostéens/ </w:t>
            </w:r>
          </w:p>
        </w:tc>
      </w:tr>
    </w:tbl>
    <w:p>
      <w:pPr>
        <w:pStyle w:val="Heading3"/>
      </w:pPr>
      <w:r>
        <w:t>Résumé :</w:t>
      </w:r>
    </w:p>
    <w:p>
      <w:r>
        <w:t>L'examen de 3627 poissons téléostéens du littoral est-algérien rattachés à 30 espèces, a permis de trouver 945 individus infestés par 3607 copépodes parasites appartenant à 33 espèces. parmi l'ensemble des copépodes recensés, 5 n'ont pu être totalement identifiés avec les moyens dont nous disposons actuellement. douze espèces de copépodes parasites sont nouvelles pour la faune algérienne. sur les 33 espèces de copépodes recensées, 25 exploitent une seule espèce-hôte (oioxènes), 4 espèces n'en infestent que deux, et 5 espèces parasites infestent plus de deux espèces de poissons mais de la même famille (sténoxènes). l'analyse de la biodiversité, selon les variables écologiques et biologiques de l'ensemble des hôtes, montre que les espèces omnivores, migratrices, grégaires et benthiques sont parasitées par un grand nombre d'espèces. la différence entre la richesse spécifique moyenne (msr) de toutes ces variables est statistiquement significative selon le test de kruskal walis. le calcul des indices épidémiologiques montre que les espèces c. sargi; h. pagellibogneravei and p. mediterranea montrent les valeurs les plus grandes.2034/09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