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Transport d'azote,de phosphates et de la matiere organique au littoral d'annaba par les effluents urbains et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Persan moderne</w:t>
            </w:r>
          </w:p>
        </w:tc>
      </w:tr>
      <w:tr>
        <w:trPr>
          <w:trHeight w:val="567"/>
        </w:trPr>
        <w:tc>
          <w:tcPr>
            <w:tcW w:type="dxa" w:w="3000"/>
          </w:tcPr>
          <w:p>
            <w:r>
              <w:t>Auteur(s)</w:t>
            </w:r>
          </w:p>
        </w:tc>
        <w:tc>
          <w:tcPr>
            <w:tcW w:type="dxa" w:w="7000"/>
          </w:tcPr>
          <w:p>
            <w:r>
              <w:t xml:space="preserve">Ounissi, M/ </w:t>
            </w:r>
          </w:p>
        </w:tc>
      </w:tr>
      <w:tr>
        <w:trPr>
          <w:trHeight w:val="567"/>
        </w:trPr>
        <w:tc>
          <w:tcPr>
            <w:tcW w:type="dxa" w:w="3000"/>
          </w:tcPr>
          <w:p>
            <w:r>
              <w:t>Nombre de Pages</w:t>
            </w:r>
          </w:p>
        </w:tc>
        <w:tc>
          <w:tcPr>
            <w:tcW w:type="dxa" w:w="7000"/>
          </w:tcPr>
          <w:p>
            <w:r>
              <w:t>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Sciences de la mer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matière organique/ effluents urbains et industriels/ </w:t>
            </w:r>
          </w:p>
        </w:tc>
      </w:tr>
    </w:tbl>
    <w:p>
      <w:pPr>
        <w:pStyle w:val="Heading3"/>
      </w:pPr>
      <w:r>
        <w:t>Résumé :</w:t>
      </w:r>
    </w:p>
    <w:p>
      <w:r>
        <w:t>Les  AMP  fournissentune  variété  d?avantages,  d'où  la  perpétuelle  augmentation  de  leurs nombres,  qui  malheureusement en  méditerranée reste  irrégulièrement  réparti  entre  les  rives sud  et celles  du  nord.  L'Algérie intéresse  de  plus en  plus  aux  AMP  comme  outil  de  protection  de  son environnement littoral. Les AMP émergent toutes d'une démarche ascendante, cela ne signifie pas que l'ensemble  des  acteurs  ait  été  pris  en  compte  ou  ait  participé  à  ce  processus.  Ces  aires  protégées nécessitent également l'intervention d'acteurs dont le champ d'action est national, voire international cependant, la mobilisation et le soutien des populations et des autorités locales jouent un rôle majeur lors de leur création et leur gestion.1067/06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