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Biometrie de l'anchois européen engraulis encrasicolus (linne,1758 )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Mezedjri; lyamine/ Djebar, B/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régime alimentaire/ Engraulis encrasicolus/ </w:t>
            </w:r>
          </w:p>
        </w:tc>
      </w:tr>
    </w:tbl>
    <w:p>
      <w:pPr>
        <w:pStyle w:val="Heading3"/>
      </w:pPr>
      <w:r>
        <w:t>Résumé :</w:t>
      </w:r>
    </w:p>
    <w:p>
      <w:r>
        <w:t>Cette étude représente la variation du régime alimentaire de l'anchois européen engraulis encrasicolus entre les régions productives et les régions oligotrophes. le régime alimentaire de l'anchois, a été étudié au niveau de 13 sites répartis le long de son aire de distribution. quel que soit le site, le régime alimentaire est basé essentiellement sur les copépodes qui représentent entre 33 et 98% comme fréquences numériques des proies identifiées et qui se retrouvent dans plus de 80% des estomacs analysés. les espèces de copépodes dominantes et le type de proies secondaires tels que les ostracodes, gastéropodes, œufs, diffèrent selon les sites. des analyses multivariées (afc, cah, nmds) permettent de distinguer trois groupes de sites: groupe 1 nord-ouest de la méditerranée, nador, atlantique, manche/ mer du nord, groupe 2 bassin algéro-provincale (ghazaouet, bénisaf et béjaia) et, groupe 3 méditerranée orientale (liban et turquie). les différences entre les groupes sont basées sur la présence de groupes zooplanctoniques spécifiques comme les larves cypris cirripèdes dans le premier groupe, les bivalves et les amphipodes dans le groupe 2 et les ostracodes, mysidacés-euphausiacés dans le groupe 3. ces groupements reflètent les dissimilarités de productivité biologique et hydrographiques qui existent entre les régions. l'examen des contenus stomacaux met en exergue la présence non négligeable de plastiques (13-16% des contenus à certains sites) dont la grande majorité est constituée de fils de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