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 points fixes communs sous diverses conditions de coptabilité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Bouhadjera; Hakima/ Godet- thobie, Christiane/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L'etude de différentes conditions de compatibilités/ compatibilité/ compatibilité super-faible./ </w:t>
            </w:r>
          </w:p>
        </w:tc>
      </w:tr>
    </w:tbl>
    <w:p>
      <w:pPr>
        <w:pStyle w:val="Heading3"/>
      </w:pPr>
      <w:r>
        <w:t>Résumé :</w:t>
      </w:r>
    </w:p>
    <w:p>
      <w:r>
        <w:t>Le sujet de mon travail est l'etude de différentes conditions de compatibilités entre fonctions et multifunctions,et leur intérêt dans la recherche de points fixes communs à ces applications. Ces conditions dont l'étude apparait essentiellement à partir des années 90 et se développe encore actuellement, s'étendent de la notion simple de commutativité de deux applications jusqu'à celles de compatibilité super- faible , de sous-compatibilité pour les couples hybrides et du concept d'applications faiblement biaisées, en passant par les notions de commutativité faible , de compatibilité, de compatibilité de divers types:type  A , type B , type C , type P , de compatibilité, de compatibilité faible et de compatibilité accasionnellement  faible.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