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positivité de la solution d’un problème aux limites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Belakroum; Kheireddine/ Lakoud, AssiaGuezane/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Bibliog._Résemu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Dérivées fractionnaires aux sens de caputo/ principe de la contraction de banach/ alternative non linéaire type leray-schauder/ </w:t>
            </w:r>
          </w:p>
        </w:tc>
      </w:tr>
    </w:tbl>
    <w:p>
      <w:pPr>
        <w:pStyle w:val="Heading3"/>
      </w:pPr>
      <w:r>
        <w:t>Résumé :</w:t>
      </w:r>
    </w:p>
    <w:p>
      <w:r>
        <w:t>Le principe du point fixe a beaucoup d'applications. Il intervient dans la résolution de plusieurs équations différentielles non linéaires en particulier, dans l'étude de l'existence et de l'unicité.</w:t>
        <w:br/>
        <w:br/>
        <w:t>Dans ce mémoire on aborde différentes applications de ce principe ainsi que quelquesunes de ses extensions et généralisations qui s'impliquent dans la résolution des équations</w:t>
        <w:br/>
        <w:br/>
        <w:t>différentielles fractionnaires. Nous démontrons l'existence et l'unicité des solutions en utilisant le principe de contraction de Banach et l'alternative non linéaire Leray-Schauder, nous étudions la positivité de la solution via le théorème Guo krasnosel skii du point fixe sur cône.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