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l'analyse numérique de la methode alternee de schwarz generalisée a plusieurs sous-domaines.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Harbi, Abida/ Sissaoui,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l'analyse numérique de la méthode alternée de schwarz/ fonctions harmoniques/ alternativement./ </w:t>
            </w:r>
          </w:p>
        </w:tc>
      </w:tr>
    </w:tbl>
    <w:p>
      <w:pPr>
        <w:pStyle w:val="Heading3"/>
      </w:pPr>
      <w:r>
        <w:t>Résumé :</w:t>
      </w:r>
    </w:p>
    <w:p>
      <w:r>
        <w:t>notre mémoire de thèse concerne l'analyse numérique de la méthode alternée de schwarz généralisée à un nombre arbitraire fini de sous-domaines.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